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41EA" w14:textId="77777777" w:rsidR="00B445F8" w:rsidRPr="00321280" w:rsidRDefault="00B445F8" w:rsidP="00B445F8">
      <w:pPr>
        <w:jc w:val="center"/>
        <w:rPr>
          <w:rFonts w:ascii="Verdana" w:hAnsi="Verdana"/>
          <w:b/>
          <w:bCs/>
        </w:rPr>
      </w:pPr>
      <w:r w:rsidRPr="00321280">
        <w:rPr>
          <w:rFonts w:ascii="Verdana" w:hAnsi="Verdana"/>
          <w:b/>
          <w:bCs/>
        </w:rPr>
        <w:t>New Credential Offered by BOC:</w:t>
      </w:r>
    </w:p>
    <w:p w14:paraId="1D5F90CA" w14:textId="47B01FD1" w:rsidR="00B445F8" w:rsidRPr="00321280" w:rsidRDefault="00B445F8" w:rsidP="00B445F8">
      <w:pPr>
        <w:jc w:val="center"/>
        <w:rPr>
          <w:rFonts w:ascii="Verdana" w:hAnsi="Verdana"/>
          <w:b/>
          <w:bCs/>
        </w:rPr>
      </w:pPr>
      <w:r w:rsidRPr="00321280">
        <w:rPr>
          <w:rFonts w:ascii="Verdana" w:hAnsi="Verdana"/>
          <w:b/>
          <w:bCs/>
        </w:rPr>
        <w:t>Fundamentals of Energy Efficien</w:t>
      </w:r>
      <w:r w:rsidR="00574CBD">
        <w:rPr>
          <w:rFonts w:ascii="Verdana" w:hAnsi="Verdana"/>
          <w:b/>
          <w:bCs/>
        </w:rPr>
        <w:t>t</w:t>
      </w:r>
      <w:r w:rsidRPr="00321280">
        <w:rPr>
          <w:rFonts w:ascii="Verdana" w:hAnsi="Verdana"/>
          <w:b/>
          <w:bCs/>
        </w:rPr>
        <w:t xml:space="preserve"> Building Operat</w:t>
      </w:r>
      <w:r w:rsidR="009A2284">
        <w:rPr>
          <w:rFonts w:ascii="Verdana" w:hAnsi="Verdana"/>
          <w:b/>
          <w:bCs/>
        </w:rPr>
        <w:t>ions</w:t>
      </w:r>
    </w:p>
    <w:p w14:paraId="4A3FED75" w14:textId="11858862" w:rsidR="00B445F8" w:rsidRPr="00A20FB2" w:rsidRDefault="00B445F8" w:rsidP="00B445F8">
      <w:pPr>
        <w:jc w:val="center"/>
        <w:rPr>
          <w:rFonts w:ascii="Verdana" w:hAnsi="Verdana"/>
          <w:b/>
          <w:bCs/>
        </w:rPr>
      </w:pPr>
    </w:p>
    <w:p w14:paraId="4ACDDA23" w14:textId="3BE85AD4" w:rsidR="00B445F8" w:rsidRPr="00A20FB2" w:rsidRDefault="00B445F8" w:rsidP="00A20FB2">
      <w:pPr>
        <w:spacing w:line="276" w:lineRule="auto"/>
        <w:jc w:val="center"/>
        <w:rPr>
          <w:rFonts w:ascii="Verdana" w:hAnsi="Verdana"/>
          <w:b/>
          <w:bCs/>
        </w:rPr>
      </w:pPr>
      <w:r w:rsidRPr="00A20FB2">
        <w:rPr>
          <w:rFonts w:ascii="Verdana" w:hAnsi="Verdana"/>
          <w:b/>
          <w:bCs/>
        </w:rPr>
        <w:t>Overview</w:t>
      </w:r>
    </w:p>
    <w:p w14:paraId="472B1665" w14:textId="77A84A95" w:rsidR="00B445F8" w:rsidRDefault="00B445F8" w:rsidP="00B445F8">
      <w:r>
        <w:t xml:space="preserve">The Building Operator Certification Program is pleased to announce </w:t>
      </w:r>
      <w:r w:rsidR="009A2284">
        <w:t>the introduction of a new curriculum</w:t>
      </w:r>
      <w:r w:rsidR="00B15EE3">
        <w:t xml:space="preserve"> and </w:t>
      </w:r>
      <w:r w:rsidR="00321280">
        <w:t xml:space="preserve">associated credential.  </w:t>
      </w:r>
      <w:r>
        <w:t>In response to numerous request</w:t>
      </w:r>
      <w:r w:rsidR="00B15EE3">
        <w:t>s</w:t>
      </w:r>
      <w:r>
        <w:t xml:space="preserve"> for an entry-level BOC </w:t>
      </w:r>
      <w:r w:rsidR="009A2284">
        <w:t>training</w:t>
      </w:r>
      <w:r>
        <w:t xml:space="preserve">, we are excited to share information on new content developed </w:t>
      </w:r>
      <w:r w:rsidR="003A60B5">
        <w:t xml:space="preserve">in partnership with BOC licensed </w:t>
      </w:r>
      <w:r w:rsidR="005B6C24">
        <w:t>partner Pennsylvania College of Technology</w:t>
      </w:r>
      <w:r w:rsidR="00574CBD">
        <w:t>’s</w:t>
      </w:r>
      <w:r w:rsidR="005B6C24">
        <w:t xml:space="preserve"> (PCT)</w:t>
      </w:r>
      <w:r w:rsidR="00574CBD">
        <w:t xml:space="preserve"> Clean Energy Center</w:t>
      </w:r>
      <w:r>
        <w:t xml:space="preserve">. The new course is </w:t>
      </w:r>
      <w:r w:rsidRPr="00B15EE3">
        <w:rPr>
          <w:b/>
          <w:bCs/>
          <w:i/>
          <w:iCs/>
        </w:rPr>
        <w:t>Fundamentals of Energy Efficient Building Operations</w:t>
      </w:r>
      <w:r w:rsidR="00A20FB2">
        <w:t xml:space="preserve"> (FEEBO)</w:t>
      </w:r>
      <w:r>
        <w:t xml:space="preserve"> which </w:t>
      </w:r>
      <w:r w:rsidR="00574CBD">
        <w:t xml:space="preserve">provides foundational level concepts of building systems, energy efficiency, and </w:t>
      </w:r>
      <w:r w:rsidR="002359B7">
        <w:t>sustainability</w:t>
      </w:r>
      <w:r>
        <w:t xml:space="preserve">.  Successful completion of the course (resulting in a </w:t>
      </w:r>
      <w:r w:rsidR="003A60B5">
        <w:t xml:space="preserve">Fundamentals </w:t>
      </w:r>
      <w:r>
        <w:t xml:space="preserve">Certificate) can be </w:t>
      </w:r>
      <w:r w:rsidR="005B6C24">
        <w:t xml:space="preserve">paired with one-year of experience </w:t>
      </w:r>
      <w:r w:rsidR="003A60B5">
        <w:t xml:space="preserve">for a student to meet eligibility requirements for BOC Level I. </w:t>
      </w:r>
    </w:p>
    <w:p w14:paraId="35D18490" w14:textId="77777777" w:rsidR="00B445F8" w:rsidRDefault="00B445F8" w:rsidP="00B445F8"/>
    <w:p w14:paraId="39B24876" w14:textId="6B6AB5E7" w:rsidR="00B445F8" w:rsidRDefault="005B6C24" w:rsidP="00B445F8">
      <w:pPr>
        <w:rPr>
          <w:rFonts w:eastAsia="Times New Roman"/>
        </w:rPr>
      </w:pPr>
      <w:r>
        <w:rPr>
          <w:rFonts w:eastAsia="Times New Roman"/>
        </w:rPr>
        <w:t xml:space="preserve">The course includes </w:t>
      </w:r>
      <w:r w:rsidR="00462F39">
        <w:rPr>
          <w:rFonts w:eastAsia="Times New Roman"/>
        </w:rPr>
        <w:t xml:space="preserve">seven ‘Parts’ that can be delivered over </w:t>
      </w:r>
      <w:r w:rsidR="00B15EE3">
        <w:rPr>
          <w:rFonts w:eastAsia="Times New Roman"/>
        </w:rPr>
        <w:t xml:space="preserve">three </w:t>
      </w:r>
      <w:r>
        <w:rPr>
          <w:rFonts w:eastAsia="Times New Roman"/>
        </w:rPr>
        <w:t>full-day classes</w:t>
      </w:r>
      <w:r w:rsidR="00B445F8">
        <w:rPr>
          <w:rFonts w:eastAsia="Times New Roman"/>
        </w:rPr>
        <w:t xml:space="preserve"> when delivered in </w:t>
      </w:r>
      <w:proofErr w:type="gramStart"/>
      <w:r w:rsidR="00B445F8">
        <w:rPr>
          <w:rFonts w:eastAsia="Times New Roman"/>
        </w:rPr>
        <w:t>person, and</w:t>
      </w:r>
      <w:proofErr w:type="gramEnd"/>
      <w:r w:rsidR="00B445F8">
        <w:rPr>
          <w:rFonts w:eastAsia="Times New Roman"/>
        </w:rPr>
        <w:t xml:space="preserve"> has been adapted to six half-day classes for delivery virtually.  </w:t>
      </w:r>
    </w:p>
    <w:p w14:paraId="203BD0D1" w14:textId="77777777" w:rsidR="00B445F8" w:rsidRDefault="00B445F8" w:rsidP="00B445F8">
      <w:pPr>
        <w:rPr>
          <w:rFonts w:eastAsia="Times New Roman"/>
        </w:rPr>
      </w:pPr>
    </w:p>
    <w:p w14:paraId="2DB46302" w14:textId="0E423343" w:rsidR="00B445F8" w:rsidRDefault="00462F39" w:rsidP="00B445F8">
      <w:pPr>
        <w:rPr>
          <w:rFonts w:eastAsia="Times New Roman"/>
        </w:rPr>
      </w:pPr>
      <w:r>
        <w:rPr>
          <w:rFonts w:eastAsia="Times New Roman"/>
        </w:rPr>
        <w:t xml:space="preserve">When delivered in full-day format, one instructor </w:t>
      </w:r>
      <w:r w:rsidR="00B66163">
        <w:rPr>
          <w:rFonts w:eastAsia="Times New Roman"/>
        </w:rPr>
        <w:t xml:space="preserve">must be approved </w:t>
      </w:r>
      <w:r>
        <w:rPr>
          <w:rFonts w:eastAsia="Times New Roman"/>
        </w:rPr>
        <w:t xml:space="preserve">to teach </w:t>
      </w:r>
      <w:r w:rsidR="002359B7">
        <w:rPr>
          <w:rFonts w:eastAsia="Times New Roman"/>
        </w:rPr>
        <w:t>all</w:t>
      </w:r>
      <w:r>
        <w:rPr>
          <w:rFonts w:eastAsia="Times New Roman"/>
        </w:rPr>
        <w:t xml:space="preserve"> Parts for that day. </w:t>
      </w:r>
      <w:r w:rsidR="00B15EE3">
        <w:rPr>
          <w:rFonts w:eastAsia="Times New Roman"/>
        </w:rPr>
        <w:t xml:space="preserve">A detailed course outline </w:t>
      </w:r>
      <w:r>
        <w:rPr>
          <w:rFonts w:eastAsia="Times New Roman"/>
        </w:rPr>
        <w:t xml:space="preserve">showing the Parts </w:t>
      </w:r>
      <w:r w:rsidR="00B15EE3">
        <w:rPr>
          <w:rFonts w:eastAsia="Times New Roman"/>
        </w:rPr>
        <w:t xml:space="preserve">is </w:t>
      </w:r>
      <w:r w:rsidR="00B445F8">
        <w:rPr>
          <w:rFonts w:eastAsia="Times New Roman"/>
        </w:rPr>
        <w:t xml:space="preserve">below. </w:t>
      </w:r>
    </w:p>
    <w:p w14:paraId="4FAD90B1" w14:textId="77777777" w:rsidR="00B445F8" w:rsidRDefault="00B445F8" w:rsidP="00B445F8">
      <w:pPr>
        <w:rPr>
          <w:rFonts w:eastAsia="Times New Roman"/>
        </w:rPr>
      </w:pPr>
    </w:p>
    <w:p w14:paraId="7ED0B0BE" w14:textId="76B15E25" w:rsidR="00B15EE3" w:rsidRDefault="00B15EE3" w:rsidP="00B15EE3">
      <w:pPr>
        <w:rPr>
          <w:rFonts w:eastAsia="Times New Roman"/>
        </w:rPr>
      </w:pPr>
      <w:r>
        <w:rPr>
          <w:rFonts w:eastAsia="Times New Roman"/>
        </w:rPr>
        <w:t>For instruction purposes, t</w:t>
      </w:r>
      <w:r w:rsidR="005B6C24">
        <w:rPr>
          <w:rFonts w:eastAsia="Times New Roman"/>
        </w:rPr>
        <w:t xml:space="preserve">here are </w:t>
      </w:r>
      <w:r w:rsidR="00B445F8">
        <w:rPr>
          <w:rFonts w:eastAsia="Times New Roman"/>
        </w:rPr>
        <w:t xml:space="preserve">three PowerPoint files that correspond to the three </w:t>
      </w:r>
      <w:r>
        <w:rPr>
          <w:rFonts w:eastAsia="Times New Roman"/>
        </w:rPr>
        <w:t xml:space="preserve">full days of content.  </w:t>
      </w:r>
      <w:r w:rsidR="005B6C24">
        <w:rPr>
          <w:rFonts w:eastAsia="Times New Roman"/>
        </w:rPr>
        <w:t>There</w:t>
      </w:r>
      <w:r w:rsidR="003A60B5">
        <w:rPr>
          <w:rFonts w:eastAsia="Times New Roman"/>
        </w:rPr>
        <w:t xml:space="preserve"> is</w:t>
      </w:r>
      <w:r w:rsidR="00267427">
        <w:rPr>
          <w:rFonts w:eastAsia="Times New Roman"/>
        </w:rPr>
        <w:t xml:space="preserve"> </w:t>
      </w:r>
      <w:r w:rsidR="005B6C24">
        <w:rPr>
          <w:rFonts w:eastAsia="Times New Roman"/>
        </w:rPr>
        <w:t>a single open-book, 20-question multiple-choice test at the end</w:t>
      </w:r>
      <w:r>
        <w:rPr>
          <w:rFonts w:eastAsia="Times New Roman"/>
        </w:rPr>
        <w:t xml:space="preserve"> of the se</w:t>
      </w:r>
      <w:r w:rsidR="00462F39">
        <w:rPr>
          <w:rFonts w:eastAsia="Times New Roman"/>
        </w:rPr>
        <w:t xml:space="preserve">ries. NEEC’s Learning Management System (LMS) has added a module for this course, and partners can license use of it if interested. </w:t>
      </w:r>
      <w:r w:rsidR="003A60B5">
        <w:rPr>
          <w:rFonts w:eastAsia="Times New Roman"/>
        </w:rPr>
        <w:t xml:space="preserve">A </w:t>
      </w:r>
      <w:r>
        <w:rPr>
          <w:rFonts w:eastAsia="Times New Roman"/>
        </w:rPr>
        <w:t xml:space="preserve">passing score </w:t>
      </w:r>
      <w:r w:rsidR="00462F39">
        <w:rPr>
          <w:rFonts w:eastAsia="Times New Roman"/>
        </w:rPr>
        <w:t xml:space="preserve">on the test </w:t>
      </w:r>
      <w:r>
        <w:rPr>
          <w:rFonts w:eastAsia="Times New Roman"/>
        </w:rPr>
        <w:t>is 70% or greater</w:t>
      </w:r>
      <w:r w:rsidR="003A60B5">
        <w:rPr>
          <w:rFonts w:eastAsia="Times New Roman"/>
        </w:rPr>
        <w:t>, which corresponds with the passing score of Level I and II tests</w:t>
      </w:r>
      <w:r>
        <w:rPr>
          <w:rFonts w:eastAsia="Times New Roman"/>
        </w:rPr>
        <w:t>. There are no project assignments.</w:t>
      </w:r>
    </w:p>
    <w:p w14:paraId="12740403" w14:textId="77777777" w:rsidR="00B15EE3" w:rsidRDefault="00B15EE3" w:rsidP="00B15EE3">
      <w:pPr>
        <w:rPr>
          <w:rFonts w:eastAsia="Times New Roman"/>
        </w:rPr>
      </w:pPr>
    </w:p>
    <w:p w14:paraId="6DA331BD" w14:textId="4AC17894" w:rsidR="008676EE" w:rsidRDefault="00B15EE3" w:rsidP="00B15EE3">
      <w:r>
        <w:rPr>
          <w:rFonts w:eastAsia="Times New Roman"/>
        </w:rPr>
        <w:t>The c</w:t>
      </w:r>
      <w:r w:rsidR="007306BD">
        <w:rPr>
          <w:rFonts w:eastAsia="Times New Roman"/>
        </w:rPr>
        <w:t>ourse is designed with polls</w:t>
      </w:r>
      <w:r w:rsidR="002359B7">
        <w:rPr>
          <w:rFonts w:eastAsia="Times New Roman"/>
        </w:rPr>
        <w:t xml:space="preserve">, </w:t>
      </w:r>
      <w:r w:rsidR="007306BD">
        <w:rPr>
          <w:rFonts w:eastAsia="Times New Roman"/>
        </w:rPr>
        <w:t>breakout rooms</w:t>
      </w:r>
      <w:r w:rsidR="002359B7">
        <w:rPr>
          <w:rFonts w:eastAsia="Times New Roman"/>
        </w:rPr>
        <w:t xml:space="preserve">, </w:t>
      </w:r>
      <w:r w:rsidR="007306BD">
        <w:rPr>
          <w:rFonts w:eastAsia="Times New Roman"/>
        </w:rPr>
        <w:t xml:space="preserve">and “Learning Activities” (included in </w:t>
      </w:r>
      <w:r w:rsidR="00A20FB2">
        <w:rPr>
          <w:rFonts w:eastAsia="Times New Roman"/>
        </w:rPr>
        <w:t xml:space="preserve">the </w:t>
      </w:r>
      <w:r w:rsidR="007306BD">
        <w:rPr>
          <w:rFonts w:eastAsia="Times New Roman"/>
        </w:rPr>
        <w:t>Appendix of each book)</w:t>
      </w:r>
      <w:r>
        <w:rPr>
          <w:rFonts w:eastAsia="Times New Roman"/>
        </w:rPr>
        <w:t xml:space="preserve">. </w:t>
      </w:r>
      <w:r w:rsidR="00B1392B">
        <w:t xml:space="preserve">Learners must attend 5 of 6 </w:t>
      </w:r>
      <w:r>
        <w:t xml:space="preserve">sessions and will be provided an opportunity to make up one session via a recorded class, if need be. </w:t>
      </w:r>
    </w:p>
    <w:p w14:paraId="76C621EF" w14:textId="77777777" w:rsidR="00CB5BEA" w:rsidRDefault="00CB5BEA" w:rsidP="00B15EE3"/>
    <w:p w14:paraId="16B88EC3" w14:textId="7CAB2475" w:rsidR="00CB5BEA" w:rsidRPr="00D12754" w:rsidRDefault="00CB5BEA" w:rsidP="00CB5BEA">
      <w:pPr>
        <w:pBdr>
          <w:bottom w:val="single" w:sz="12" w:space="1" w:color="auto"/>
        </w:pBdr>
        <w:spacing w:before="60" w:after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Target Audience</w:t>
      </w:r>
    </w:p>
    <w:p w14:paraId="13288182" w14:textId="7317C0D5" w:rsidR="00CB5BEA" w:rsidRDefault="00CB5BEA" w:rsidP="00CB5BEA">
      <w:pPr>
        <w:pStyle w:val="Pa1"/>
        <w:spacing w:after="40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 xml:space="preserve">Fundamentals of Energy Efficient Building Operations is well suited </w:t>
      </w:r>
      <w:r w:rsidR="002359B7">
        <w:rPr>
          <w:rFonts w:asciiTheme="minorHAnsi" w:eastAsiaTheme="minorEastAsia" w:hAnsiTheme="minorHAnsi"/>
          <w:sz w:val="22"/>
          <w:szCs w:val="22"/>
        </w:rPr>
        <w:t xml:space="preserve">for individuals who are exploring a career in or are new to the field of building operations and energy efficiency, as well as those in management and supervisory roles. </w:t>
      </w:r>
    </w:p>
    <w:p w14:paraId="4F67B795" w14:textId="58FAB495" w:rsidR="00D12754" w:rsidRPr="00D12754" w:rsidRDefault="00D12754" w:rsidP="00D12754">
      <w:pPr>
        <w:pBdr>
          <w:bottom w:val="single" w:sz="12" w:space="1" w:color="auto"/>
        </w:pBdr>
        <w:spacing w:before="60" w:after="120"/>
        <w:rPr>
          <w:rFonts w:ascii="Verdana" w:hAnsi="Verdana" w:cs="Arial"/>
          <w:b/>
        </w:rPr>
      </w:pPr>
    </w:p>
    <w:p w14:paraId="1A4FEA60" w14:textId="772D5466" w:rsidR="00D12754" w:rsidRPr="00D12754" w:rsidRDefault="00D12754" w:rsidP="00D12754">
      <w:pPr>
        <w:pBdr>
          <w:bottom w:val="single" w:sz="12" w:space="1" w:color="auto"/>
        </w:pBdr>
        <w:spacing w:before="60" w:after="120"/>
        <w:rPr>
          <w:rFonts w:ascii="Verdana" w:hAnsi="Verdana" w:cs="Arial"/>
          <w:b/>
        </w:rPr>
      </w:pPr>
      <w:r w:rsidRPr="00D12754">
        <w:rPr>
          <w:rFonts w:ascii="Verdana" w:hAnsi="Verdana" w:cs="Arial"/>
          <w:b/>
        </w:rPr>
        <w:t>Eligibility</w:t>
      </w:r>
    </w:p>
    <w:p w14:paraId="3B36DE05" w14:textId="4C34FF72" w:rsidR="00D12754" w:rsidRPr="00D12754" w:rsidRDefault="00D12754" w:rsidP="00D12754">
      <w:pPr>
        <w:pStyle w:val="Pa1"/>
        <w:spacing w:after="40"/>
        <w:rPr>
          <w:rFonts w:asciiTheme="minorHAnsi" w:eastAsiaTheme="minorEastAsia" w:hAnsiTheme="minorHAnsi"/>
          <w:sz w:val="22"/>
          <w:szCs w:val="22"/>
        </w:rPr>
      </w:pPr>
      <w:r w:rsidRPr="00D12754">
        <w:rPr>
          <w:rFonts w:asciiTheme="minorHAnsi" w:eastAsiaTheme="minorEastAsia" w:hAnsiTheme="minorHAnsi"/>
          <w:sz w:val="22"/>
          <w:szCs w:val="22"/>
        </w:rPr>
        <w:t>It is</w:t>
      </w:r>
      <w:r w:rsidR="002359B7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D12754">
        <w:rPr>
          <w:rFonts w:asciiTheme="minorHAnsi" w:eastAsiaTheme="minorEastAsia" w:hAnsiTheme="minorHAnsi"/>
          <w:sz w:val="22"/>
          <w:szCs w:val="22"/>
        </w:rPr>
        <w:t>recommended that program participants have a high school diploma or GED</w:t>
      </w:r>
      <w:r w:rsidR="002359B7">
        <w:rPr>
          <w:rFonts w:asciiTheme="minorHAnsi" w:eastAsiaTheme="minorEastAsia" w:hAnsiTheme="minorHAnsi"/>
          <w:sz w:val="22"/>
          <w:szCs w:val="22"/>
        </w:rPr>
        <w:t xml:space="preserve">. </w:t>
      </w:r>
    </w:p>
    <w:p w14:paraId="15C34014" w14:textId="70F09FFC" w:rsidR="005B6C24" w:rsidRDefault="005B6C24"/>
    <w:p w14:paraId="471C5172" w14:textId="77777777" w:rsidR="00B15EE3" w:rsidRDefault="00B15EE3" w:rsidP="00B15EE3">
      <w:pPr>
        <w:pBdr>
          <w:bottom w:val="single" w:sz="12" w:space="1" w:color="auto"/>
        </w:pBdr>
        <w:spacing w:before="60" w:after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Course Outline</w:t>
      </w:r>
    </w:p>
    <w:p w14:paraId="246D4F4B" w14:textId="348BB66F" w:rsidR="00B15EE3" w:rsidRDefault="00B15EE3" w:rsidP="00B15EE3">
      <w:pPr>
        <w:pStyle w:val="NoSpacing"/>
      </w:pPr>
      <w:bookmarkStart w:id="0" w:name="_Hlk74921901"/>
      <w:r>
        <w:t xml:space="preserve">The course is organized into </w:t>
      </w:r>
      <w:r w:rsidR="005A4B66">
        <w:t>7</w:t>
      </w:r>
      <w:r>
        <w:t xml:space="preserve"> distinct modules (or ‘parts’) that cover various topics, all related to the overall objectives. The parts/modules and their learning objectives are:</w:t>
      </w:r>
    </w:p>
    <w:bookmarkEnd w:id="0"/>
    <w:p w14:paraId="0E37D19A" w14:textId="0E70BD7E" w:rsidR="007D3F64" w:rsidRDefault="007D3F64" w:rsidP="00B15EE3">
      <w:pPr>
        <w:pStyle w:val="NoSpacing"/>
      </w:pPr>
    </w:p>
    <w:tbl>
      <w:tblPr>
        <w:tblStyle w:val="TableGrid"/>
        <w:tblW w:w="0" w:type="auto"/>
        <w:tblInd w:w="-105" w:type="dxa"/>
        <w:tblLook w:val="04A0" w:firstRow="1" w:lastRow="0" w:firstColumn="1" w:lastColumn="0" w:noHBand="0" w:noVBand="1"/>
      </w:tblPr>
      <w:tblGrid>
        <w:gridCol w:w="603"/>
        <w:gridCol w:w="8832"/>
      </w:tblGrid>
      <w:tr w:rsidR="00D12754" w14:paraId="2BD5E279" w14:textId="77777777" w:rsidTr="006A5C45">
        <w:trPr>
          <w:trHeight w:val="2283"/>
        </w:trPr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textDirection w:val="btLr"/>
          </w:tcPr>
          <w:p w14:paraId="73FC5A2D" w14:textId="01F17A38" w:rsidR="00D12754" w:rsidRDefault="00D12754" w:rsidP="00D127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theme="minorHAnsi"/>
                <w:b/>
                <w:kern w:val="24"/>
                <w:u w:val="single"/>
              </w:rPr>
            </w:pPr>
            <w:bookmarkStart w:id="1" w:name="_Hlk74921918"/>
            <w:r>
              <w:rPr>
                <w:rFonts w:asciiTheme="minorHAnsi" w:hAnsiTheme="minorHAnsi" w:cstheme="minorHAnsi"/>
                <w:b/>
                <w:kern w:val="24"/>
                <w:u w:val="single"/>
              </w:rPr>
              <w:lastRenderedPageBreak/>
              <w:t>BOOK 1</w:t>
            </w:r>
          </w:p>
        </w:tc>
        <w:tc>
          <w:tcPr>
            <w:tcW w:w="883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89C6B8F" w14:textId="3ED7B30A" w:rsidR="00D12754" w:rsidRPr="00B15EE3" w:rsidRDefault="00D12754" w:rsidP="00D401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kern w:val="24"/>
                <w:u w:val="single"/>
              </w:rPr>
              <w:t>DAY 1 (six hours when delivered ‘live’, two 3-hour days when delivered virtually):</w:t>
            </w:r>
          </w:p>
          <w:p w14:paraId="23D75565" w14:textId="77777777" w:rsidR="00D12754" w:rsidRPr="00B15EE3" w:rsidRDefault="00D12754" w:rsidP="00D401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</w:pPr>
            <w:bookmarkStart w:id="2" w:name="_Hlk74911423"/>
            <w:r w:rsidRPr="00B15EE3"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>Part 1: Energy Efficiency and Sustainability Overview</w:t>
            </w:r>
            <w:bookmarkEnd w:id="2"/>
          </w:p>
          <w:p w14:paraId="16F3D4B1" w14:textId="77777777" w:rsidR="00D12754" w:rsidRPr="00B15EE3" w:rsidRDefault="00D12754" w:rsidP="00D4012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kern w:val="24"/>
              </w:rPr>
            </w:pPr>
            <w:r w:rsidRPr="00B15EE3">
              <w:rPr>
                <w:rFonts w:asciiTheme="minorHAnsi" w:hAnsiTheme="minorHAnsi" w:cstheme="minorHAnsi"/>
                <w:kern w:val="24"/>
              </w:rPr>
              <w:t>Program Overview</w:t>
            </w:r>
          </w:p>
          <w:p w14:paraId="23334B57" w14:textId="77777777" w:rsidR="00D12754" w:rsidRPr="00B15EE3" w:rsidRDefault="00D12754" w:rsidP="00D4012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kern w:val="24"/>
              </w:rPr>
            </w:pPr>
            <w:r w:rsidRPr="00B15EE3">
              <w:rPr>
                <w:rFonts w:asciiTheme="minorHAnsi" w:hAnsiTheme="minorHAnsi" w:cstheme="minorHAnsi"/>
                <w:kern w:val="24"/>
              </w:rPr>
              <w:t>Concepts of green and high-performance buildings</w:t>
            </w:r>
          </w:p>
          <w:p w14:paraId="01DE1590" w14:textId="77777777" w:rsidR="00D12754" w:rsidRDefault="00D12754" w:rsidP="00D4012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kern w:val="24"/>
              </w:rPr>
            </w:pPr>
            <w:r w:rsidRPr="00B15EE3">
              <w:rPr>
                <w:rFonts w:asciiTheme="minorHAnsi" w:hAnsiTheme="minorHAnsi" w:cstheme="minorHAnsi"/>
                <w:kern w:val="24"/>
              </w:rPr>
              <w:t>Trends in Building Operations</w:t>
            </w:r>
          </w:p>
          <w:p w14:paraId="3FEDD755" w14:textId="77777777" w:rsidR="00D12754" w:rsidRPr="00B15EE3" w:rsidRDefault="00D12754" w:rsidP="00D4012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kern w:val="24"/>
              </w:rPr>
            </w:pPr>
            <w:r>
              <w:rPr>
                <w:rFonts w:asciiTheme="minorHAnsi" w:hAnsiTheme="minorHAnsi" w:cstheme="minorHAnsi"/>
                <w:kern w:val="24"/>
              </w:rPr>
              <w:t>Building a plan for your facilities</w:t>
            </w:r>
          </w:p>
          <w:p w14:paraId="226A9D31" w14:textId="4D2C1099" w:rsidR="00D12754" w:rsidRDefault="00D12754" w:rsidP="00D4012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i/>
                <w:iCs/>
                <w:kern w:val="24"/>
              </w:rPr>
            </w:pPr>
            <w:r w:rsidRPr="009D3C94">
              <w:rPr>
                <w:rFonts w:asciiTheme="minorHAnsi" w:hAnsiTheme="minorHAnsi" w:cstheme="minorHAnsi"/>
                <w:i/>
                <w:iCs/>
                <w:kern w:val="24"/>
              </w:rPr>
              <w:t xml:space="preserve">Learning </w:t>
            </w:r>
            <w:r>
              <w:rPr>
                <w:rFonts w:asciiTheme="minorHAnsi" w:hAnsiTheme="minorHAnsi" w:cstheme="minorHAnsi"/>
                <w:i/>
                <w:iCs/>
                <w:kern w:val="24"/>
              </w:rPr>
              <w:t>A</w:t>
            </w:r>
            <w:r w:rsidRPr="009D3C94">
              <w:rPr>
                <w:rFonts w:asciiTheme="minorHAnsi" w:hAnsiTheme="minorHAnsi" w:cstheme="minorHAnsi"/>
                <w:i/>
                <w:iCs/>
                <w:kern w:val="24"/>
              </w:rPr>
              <w:t>ctivity: Developing your facility’s baseline and goals</w:t>
            </w:r>
          </w:p>
          <w:p w14:paraId="50035B64" w14:textId="49B04D26" w:rsidR="00D12754" w:rsidRPr="00462F39" w:rsidRDefault="00D12754" w:rsidP="00D4012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i/>
                <w:iCs/>
                <w:kern w:val="24"/>
              </w:rPr>
            </w:pPr>
            <w:r>
              <w:rPr>
                <w:rFonts w:asciiTheme="minorHAnsi" w:hAnsiTheme="minorHAnsi" w:cstheme="minorHAnsi"/>
                <w:kern w:val="24"/>
              </w:rPr>
              <w:t>Green Building certification</w:t>
            </w:r>
          </w:p>
        </w:tc>
      </w:tr>
      <w:tr w:rsidR="00D12754" w14:paraId="47D0E7B8" w14:textId="77777777" w:rsidTr="006A5C45"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261E236" w14:textId="77777777" w:rsidR="00D12754" w:rsidRPr="00D40126" w:rsidRDefault="00D12754" w:rsidP="00D40126">
            <w:pPr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</w:pPr>
          </w:p>
        </w:tc>
        <w:tc>
          <w:tcPr>
            <w:tcW w:w="88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8B96494" w14:textId="331C5E7E" w:rsidR="00D12754" w:rsidRPr="00D40126" w:rsidRDefault="00D12754" w:rsidP="00D40126">
            <w:pPr>
              <w:rPr>
                <w:rFonts w:asciiTheme="minorHAnsi" w:hAnsiTheme="minorHAnsi" w:cstheme="minorHAnsi"/>
                <w:kern w:val="24"/>
              </w:rPr>
            </w:pPr>
            <w:bookmarkStart w:id="3" w:name="_Hlk74911446"/>
            <w:r w:rsidRPr="00D40126"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>Part 2: HVAC Fundamentals</w:t>
            </w:r>
          </w:p>
          <w:bookmarkEnd w:id="3"/>
          <w:p w14:paraId="2488DD85" w14:textId="02687EAD" w:rsidR="00D12754" w:rsidRDefault="00D12754" w:rsidP="00321280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Introduction to HVAC</w:t>
            </w:r>
          </w:p>
          <w:p w14:paraId="3F00AF2E" w14:textId="435C058E" w:rsidR="00D12754" w:rsidRDefault="00D12754" w:rsidP="00321280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Heating &amp; Cooling Systems</w:t>
            </w:r>
          </w:p>
          <w:p w14:paraId="176270DE" w14:textId="79A199FE" w:rsidR="00D12754" w:rsidRDefault="00D12754" w:rsidP="00321280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Air Systems</w:t>
            </w:r>
          </w:p>
          <w:p w14:paraId="479D984A" w14:textId="675CA870" w:rsidR="00D12754" w:rsidRDefault="00D12754" w:rsidP="00321280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  <w:i/>
                <w:iCs/>
              </w:rPr>
            </w:pPr>
            <w:r w:rsidRPr="00F62A53">
              <w:rPr>
                <w:rFonts w:asciiTheme="minorHAnsi" w:eastAsia="Calibri" w:hAnsiTheme="minorHAnsi" w:cstheme="minorHAnsi"/>
                <w:i/>
                <w:iCs/>
              </w:rPr>
              <w:t xml:space="preserve">Learning Activity: Identify equipment from a </w:t>
            </w:r>
            <w:proofErr w:type="gramStart"/>
            <w:r w:rsidRPr="00F62A53">
              <w:rPr>
                <w:rFonts w:asciiTheme="minorHAnsi" w:eastAsia="Calibri" w:hAnsiTheme="minorHAnsi" w:cstheme="minorHAnsi"/>
                <w:i/>
                <w:iCs/>
              </w:rPr>
              <w:t>sketch</w:t>
            </w:r>
            <w:proofErr w:type="gramEnd"/>
          </w:p>
          <w:p w14:paraId="65DC19A6" w14:textId="21173B08" w:rsidR="00D12754" w:rsidRPr="00F62A53" w:rsidRDefault="00D12754" w:rsidP="00F62A53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 w:rsidRPr="00F62A53">
              <w:rPr>
                <w:rFonts w:asciiTheme="minorHAnsi" w:eastAsia="Calibri" w:hAnsiTheme="minorHAnsi" w:cstheme="minorHAnsi"/>
              </w:rPr>
              <w:t>Maintenance Overview</w:t>
            </w:r>
          </w:p>
        </w:tc>
      </w:tr>
      <w:tr w:rsidR="00D12754" w14:paraId="232C3633" w14:textId="77777777" w:rsidTr="00D12754"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textDirection w:val="btLr"/>
          </w:tcPr>
          <w:p w14:paraId="2F95E945" w14:textId="3B843CFF" w:rsidR="00D12754" w:rsidRPr="00B15EE3" w:rsidRDefault="00D12754" w:rsidP="00D127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theme="minorHAnsi"/>
                <w:b/>
                <w:kern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kern w:val="24"/>
                <w:u w:val="single"/>
              </w:rPr>
              <w:t>BOOK 2</w:t>
            </w:r>
          </w:p>
        </w:tc>
        <w:tc>
          <w:tcPr>
            <w:tcW w:w="88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F8685A8" w14:textId="603014AC" w:rsidR="00D12754" w:rsidRPr="00321280" w:rsidRDefault="00D12754" w:rsidP="00462F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u w:val="single"/>
              </w:rPr>
            </w:pPr>
            <w:r w:rsidRPr="00B15EE3">
              <w:rPr>
                <w:rFonts w:asciiTheme="minorHAnsi" w:hAnsiTheme="minorHAnsi" w:cstheme="minorHAnsi"/>
                <w:b/>
                <w:kern w:val="24"/>
                <w:u w:val="single"/>
              </w:rPr>
              <w:t>D</w:t>
            </w:r>
            <w:r>
              <w:rPr>
                <w:rFonts w:asciiTheme="minorHAnsi" w:hAnsiTheme="minorHAnsi" w:cstheme="minorHAnsi"/>
                <w:b/>
                <w:kern w:val="24"/>
                <w:u w:val="single"/>
              </w:rPr>
              <w:t>AY</w:t>
            </w:r>
            <w:r w:rsidRPr="00B15EE3">
              <w:rPr>
                <w:rFonts w:asciiTheme="minorHAnsi" w:hAnsiTheme="minorHAnsi" w:cstheme="minorHAnsi"/>
                <w:b/>
                <w:kern w:val="24"/>
                <w:u w:val="single"/>
              </w:rPr>
              <w:t xml:space="preserve"> 2</w:t>
            </w:r>
            <w:r>
              <w:rPr>
                <w:rFonts w:asciiTheme="minorHAnsi" w:hAnsiTheme="minorHAnsi" w:cstheme="minorHAnsi"/>
                <w:b/>
                <w:kern w:val="24"/>
                <w:u w:val="single"/>
              </w:rPr>
              <w:t xml:space="preserve"> (six hours when delivered ‘live’, two 3-hour days when delivered virtually):</w:t>
            </w:r>
          </w:p>
          <w:p w14:paraId="66C27098" w14:textId="77777777" w:rsidR="00D12754" w:rsidRPr="009C5BC7" w:rsidRDefault="00D12754" w:rsidP="00462F39">
            <w:pPr>
              <w:spacing w:before="60"/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</w:pPr>
            <w:bookmarkStart w:id="4" w:name="_Hlk74911469"/>
            <w:r w:rsidRPr="009C5BC7"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 xml:space="preserve">Part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>3</w:t>
            </w:r>
            <w:r w:rsidRPr="009C5BC7"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>Lighting Fundamentals</w:t>
            </w:r>
          </w:p>
          <w:bookmarkEnd w:id="4"/>
          <w:p w14:paraId="4C666D15" w14:textId="77777777" w:rsidR="00D12754" w:rsidRPr="00B15EE3" w:rsidRDefault="00D12754" w:rsidP="00462F39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 w:rsidRPr="00B15EE3">
              <w:rPr>
                <w:rFonts w:asciiTheme="minorHAnsi" w:eastAsia="Calibri" w:hAnsiTheme="minorHAnsi" w:cstheme="minorHAnsi"/>
              </w:rPr>
              <w:t>Lighting Principles</w:t>
            </w:r>
          </w:p>
          <w:p w14:paraId="10738DC2" w14:textId="77777777" w:rsidR="00D12754" w:rsidRPr="00F62A53" w:rsidRDefault="00D12754" w:rsidP="00462F39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  <w:i/>
                <w:iCs/>
              </w:rPr>
            </w:pPr>
            <w:r w:rsidRPr="00F62A53">
              <w:rPr>
                <w:rFonts w:asciiTheme="minorHAnsi" w:eastAsia="Calibri" w:hAnsiTheme="minorHAnsi" w:cstheme="minorHAnsi"/>
                <w:i/>
                <w:iCs/>
              </w:rPr>
              <w:t>Learning Activity</w:t>
            </w:r>
            <w:r>
              <w:rPr>
                <w:rFonts w:asciiTheme="minorHAnsi" w:eastAsia="Calibri" w:hAnsiTheme="minorHAnsi" w:cstheme="minorHAnsi"/>
                <w:i/>
                <w:iCs/>
              </w:rPr>
              <w:t>:</w:t>
            </w:r>
            <w:r w:rsidRPr="00F62A53">
              <w:rPr>
                <w:rFonts w:asciiTheme="minorHAnsi" w:eastAsia="Calibri" w:hAnsiTheme="minorHAnsi" w:cstheme="minorHAnsi"/>
                <w:i/>
                <w:iCs/>
              </w:rPr>
              <w:t xml:space="preserve"> Using a Light Meter</w:t>
            </w:r>
          </w:p>
          <w:p w14:paraId="3C11F7C2" w14:textId="77777777" w:rsidR="00D12754" w:rsidRPr="00B15EE3" w:rsidRDefault="00D12754" w:rsidP="00462F39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 w:rsidRPr="00B15EE3">
              <w:rPr>
                <w:rFonts w:asciiTheme="minorHAnsi" w:eastAsia="Calibri" w:hAnsiTheme="minorHAnsi" w:cstheme="minorHAnsi"/>
              </w:rPr>
              <w:t>Lighting Equipment</w:t>
            </w:r>
          </w:p>
          <w:p w14:paraId="185AB4BB" w14:textId="77777777" w:rsidR="00D12754" w:rsidRPr="00B15EE3" w:rsidRDefault="00D12754" w:rsidP="00462F39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 w:rsidRPr="00B15EE3">
              <w:rPr>
                <w:rFonts w:asciiTheme="minorHAnsi" w:eastAsia="Calibri" w:hAnsiTheme="minorHAnsi" w:cstheme="minorHAnsi"/>
              </w:rPr>
              <w:t>Lighting Maintenance</w:t>
            </w:r>
          </w:p>
          <w:p w14:paraId="6AD428F2" w14:textId="77777777" w:rsidR="00D12754" w:rsidRDefault="00D12754" w:rsidP="00462F39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Lighting Efficiency</w:t>
            </w:r>
          </w:p>
          <w:p w14:paraId="2B6A2C24" w14:textId="2EA5187A" w:rsidR="00D12754" w:rsidRPr="00462F39" w:rsidRDefault="00D12754" w:rsidP="00462F39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  <w:i/>
                <w:iCs/>
              </w:rPr>
            </w:pPr>
            <w:r w:rsidRPr="00F62A53">
              <w:rPr>
                <w:rFonts w:asciiTheme="minorHAnsi" w:eastAsia="Calibri" w:hAnsiTheme="minorHAnsi" w:cstheme="minorHAnsi"/>
                <w:i/>
                <w:iCs/>
              </w:rPr>
              <w:t>Learning Activity</w:t>
            </w:r>
            <w:r>
              <w:rPr>
                <w:rFonts w:asciiTheme="minorHAnsi" w:eastAsia="Calibri" w:hAnsiTheme="minorHAnsi" w:cstheme="minorHAnsi"/>
                <w:i/>
                <w:iCs/>
              </w:rPr>
              <w:t>:</w:t>
            </w:r>
            <w:r w:rsidRPr="00F62A53">
              <w:rPr>
                <w:rFonts w:asciiTheme="minorHAnsi" w:eastAsia="Calibri" w:hAnsiTheme="minorHAnsi" w:cstheme="minorHAnsi"/>
                <w:i/>
                <w:iCs/>
              </w:rPr>
              <w:t xml:space="preserve"> Utility Incentives</w:t>
            </w:r>
          </w:p>
        </w:tc>
      </w:tr>
      <w:tr w:rsidR="00D12754" w14:paraId="71882E0F" w14:textId="77777777" w:rsidTr="00D12754"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432A65D3" w14:textId="77777777" w:rsidR="00D12754" w:rsidRPr="00B15EE3" w:rsidRDefault="00D12754" w:rsidP="00321280">
            <w:pPr>
              <w:spacing w:before="60"/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</w:pPr>
          </w:p>
        </w:tc>
        <w:tc>
          <w:tcPr>
            <w:tcW w:w="8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</w:tcPr>
          <w:p w14:paraId="41889C58" w14:textId="2522CD4A" w:rsidR="00D12754" w:rsidRPr="00B15EE3" w:rsidRDefault="00D12754" w:rsidP="00321280">
            <w:pPr>
              <w:spacing w:before="60"/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</w:pPr>
            <w:bookmarkStart w:id="5" w:name="_Hlk74911481"/>
            <w:r w:rsidRPr="00B15EE3"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 xml:space="preserve">Part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>4</w:t>
            </w:r>
            <w:r w:rsidRPr="00B15EE3"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>Energy Conservation Opportunities</w:t>
            </w:r>
            <w:bookmarkEnd w:id="5"/>
          </w:p>
          <w:p w14:paraId="30E2B1D6" w14:textId="77777777" w:rsidR="00D12754" w:rsidRPr="00B15EE3" w:rsidRDefault="00D12754" w:rsidP="00321280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 w:rsidRPr="00B15EE3">
              <w:rPr>
                <w:rFonts w:asciiTheme="minorHAnsi" w:eastAsia="Calibri" w:hAnsiTheme="minorHAnsi" w:cstheme="minorHAnsi"/>
              </w:rPr>
              <w:t>Indoor Environmental Quality Overview</w:t>
            </w:r>
          </w:p>
          <w:p w14:paraId="03CD3EBB" w14:textId="6260757E" w:rsidR="00D12754" w:rsidRPr="00B15EE3" w:rsidRDefault="00D12754" w:rsidP="00321280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Common Opportunities for Low-Cost Operational Improvement</w:t>
            </w:r>
          </w:p>
          <w:p w14:paraId="73EC3331" w14:textId="6EC7D62E" w:rsidR="00D12754" w:rsidRPr="00B15EE3" w:rsidRDefault="00D12754" w:rsidP="00321280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i/>
                <w:iCs/>
              </w:rPr>
              <w:t>Learning Activity: Energy Conservation Opportunities</w:t>
            </w:r>
          </w:p>
          <w:p w14:paraId="4774E5E5" w14:textId="16C08B51" w:rsidR="00D12754" w:rsidRPr="00B15EE3" w:rsidRDefault="00D12754" w:rsidP="00321280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Introduction to Controls</w:t>
            </w:r>
          </w:p>
          <w:p w14:paraId="345665B2" w14:textId="77777777" w:rsidR="00D12754" w:rsidRPr="00F62A53" w:rsidRDefault="00D12754" w:rsidP="00F62A53">
            <w:pPr>
              <w:spacing w:before="60" w:after="60"/>
              <w:ind w:left="360"/>
              <w:contextualSpacing/>
              <w:rPr>
                <w:rFonts w:ascii="Verdana" w:hAnsi="Verdana" w:cs="Times New Roman"/>
              </w:rPr>
            </w:pPr>
          </w:p>
        </w:tc>
      </w:tr>
      <w:tr w:rsidR="00D12754" w14:paraId="109E5569" w14:textId="77777777" w:rsidTr="00D12754">
        <w:trPr>
          <w:trHeight w:val="2474"/>
        </w:trPr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textDirection w:val="btLr"/>
          </w:tcPr>
          <w:p w14:paraId="79E8A1CF" w14:textId="4DDA1F05" w:rsidR="00D12754" w:rsidRDefault="00D12754" w:rsidP="00D127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eastAsia="Calibri" w:hAnsiTheme="minorHAnsi" w:cstheme="minorHAnsi"/>
                <w:b/>
                <w:u w:val="single"/>
              </w:rPr>
            </w:pPr>
            <w:r>
              <w:rPr>
                <w:rFonts w:asciiTheme="minorHAnsi" w:eastAsia="Calibri" w:hAnsiTheme="minorHAnsi" w:cstheme="minorHAnsi"/>
                <w:b/>
                <w:u w:val="single"/>
              </w:rPr>
              <w:t>BOOK 3</w:t>
            </w:r>
          </w:p>
        </w:tc>
        <w:tc>
          <w:tcPr>
            <w:tcW w:w="88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ABE4EEF" w14:textId="4C91369A" w:rsidR="00D12754" w:rsidRPr="00321280" w:rsidRDefault="00D12754" w:rsidP="00D401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u w:val="single"/>
              </w:rPr>
            </w:pPr>
            <w:r>
              <w:rPr>
                <w:rFonts w:asciiTheme="minorHAnsi" w:eastAsia="Calibri" w:hAnsiTheme="minorHAnsi" w:cstheme="minorHAnsi"/>
                <w:b/>
                <w:u w:val="single"/>
              </w:rPr>
              <w:t xml:space="preserve">DAY </w:t>
            </w:r>
            <w:r w:rsidRPr="00B15EE3">
              <w:rPr>
                <w:rFonts w:asciiTheme="minorHAnsi" w:eastAsia="Calibri" w:hAnsiTheme="minorHAnsi" w:cstheme="minorHAnsi"/>
                <w:b/>
                <w:u w:val="single"/>
              </w:rPr>
              <w:t>3</w:t>
            </w:r>
            <w:r>
              <w:rPr>
                <w:rFonts w:asciiTheme="minorHAnsi" w:eastAsia="Calibri" w:hAnsiTheme="minorHAnsi" w:cstheme="minorHAnsi"/>
                <w:b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24"/>
                <w:u w:val="single"/>
              </w:rPr>
              <w:t>(six hours when delivered ‘live’, two 3-hour days when delivered virtually):</w:t>
            </w:r>
          </w:p>
          <w:p w14:paraId="21E70DC7" w14:textId="77777777" w:rsidR="00D12754" w:rsidRPr="00B15EE3" w:rsidRDefault="00D12754" w:rsidP="00D401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</w:pPr>
            <w:bookmarkStart w:id="6" w:name="_Hlk74911533"/>
            <w:r w:rsidRPr="00B15EE3"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 xml:space="preserve">Part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>5</w:t>
            </w:r>
            <w:r w:rsidRPr="00B15EE3"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>Indoor Environmental Quality</w:t>
            </w:r>
          </w:p>
          <w:bookmarkEnd w:id="6"/>
          <w:p w14:paraId="380854CC" w14:textId="77777777" w:rsidR="00D12754" w:rsidRPr="00B15EE3" w:rsidRDefault="00D12754" w:rsidP="00D40126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Indoor Environmental Quality Overview</w:t>
            </w:r>
          </w:p>
          <w:p w14:paraId="32A9F738" w14:textId="77777777" w:rsidR="00D12754" w:rsidRPr="00B15EE3" w:rsidRDefault="00D12754" w:rsidP="00D40126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Effective Communication</w:t>
            </w:r>
          </w:p>
          <w:p w14:paraId="3D7DE268" w14:textId="77777777" w:rsidR="00D12754" w:rsidRPr="00B15EE3" w:rsidRDefault="00D12754" w:rsidP="00D40126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i/>
                <w:iCs/>
              </w:rPr>
              <w:t>Learning Activity: Communications Case Study</w:t>
            </w:r>
          </w:p>
          <w:p w14:paraId="21637910" w14:textId="77777777" w:rsidR="00D12754" w:rsidRPr="00B15EE3" w:rsidRDefault="00D12754" w:rsidP="00D40126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Fundamentals of Indoor Environmental Quality</w:t>
            </w:r>
          </w:p>
          <w:p w14:paraId="00282705" w14:textId="77777777" w:rsidR="00D12754" w:rsidRPr="00B15EE3" w:rsidRDefault="00D12754" w:rsidP="00D40126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Preventing IEQ Problems</w:t>
            </w:r>
          </w:p>
          <w:p w14:paraId="00C13F19" w14:textId="45192CA3" w:rsidR="00D12754" w:rsidRPr="00B15EE3" w:rsidRDefault="00D12754" w:rsidP="00462F39">
            <w:pPr>
              <w:pStyle w:val="ListParagraph"/>
              <w:numPr>
                <w:ilvl w:val="0"/>
                <w:numId w:val="4"/>
              </w:numPr>
              <w:spacing w:before="60"/>
              <w:contextualSpacing/>
              <w:rPr>
                <w:rFonts w:asciiTheme="minorHAnsi" w:hAnsiTheme="minorHAnsi" w:cstheme="minorHAnsi"/>
                <w:b/>
                <w:kern w:val="24"/>
                <w:u w:val="single"/>
              </w:rPr>
            </w:pPr>
            <w:r>
              <w:rPr>
                <w:rFonts w:asciiTheme="minorHAnsi" w:eastAsia="Calibri" w:hAnsiTheme="minorHAnsi" w:cstheme="minorHAnsi"/>
              </w:rPr>
              <w:t>Pollutant Control Strategies</w:t>
            </w:r>
          </w:p>
        </w:tc>
      </w:tr>
      <w:tr w:rsidR="00D12754" w14:paraId="32593FF0" w14:textId="77777777" w:rsidTr="00D12754"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19724E8C" w14:textId="77777777" w:rsidR="00D12754" w:rsidRPr="00B15EE3" w:rsidRDefault="00D12754" w:rsidP="00F62A53">
            <w:pPr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</w:pPr>
          </w:p>
        </w:tc>
        <w:tc>
          <w:tcPr>
            <w:tcW w:w="8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02F26FB6" w14:textId="6C9489AB" w:rsidR="00D12754" w:rsidRPr="00B15EE3" w:rsidRDefault="00D12754" w:rsidP="00F62A53">
            <w:pPr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</w:pPr>
            <w:bookmarkStart w:id="7" w:name="_Hlk74911543"/>
            <w:r w:rsidRPr="00B15EE3"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 xml:space="preserve">Part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>6</w:t>
            </w:r>
            <w:r w:rsidRPr="00B15EE3"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>: Measuring and Benchmarking Energy Performance</w:t>
            </w:r>
          </w:p>
          <w:bookmarkEnd w:id="7"/>
          <w:p w14:paraId="29B44002" w14:textId="77777777" w:rsidR="00D12754" w:rsidRPr="00B15EE3" w:rsidRDefault="00D12754" w:rsidP="00321280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 w:rsidRPr="00B15EE3">
              <w:rPr>
                <w:rFonts w:asciiTheme="minorHAnsi" w:eastAsia="Calibri" w:hAnsiTheme="minorHAnsi" w:cstheme="minorHAnsi"/>
              </w:rPr>
              <w:t>Energy Management</w:t>
            </w:r>
          </w:p>
          <w:p w14:paraId="03084AA0" w14:textId="77777777" w:rsidR="00D12754" w:rsidRPr="00B15EE3" w:rsidRDefault="00D12754" w:rsidP="00321280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 w:rsidRPr="00B15EE3">
              <w:rPr>
                <w:rFonts w:asciiTheme="minorHAnsi" w:eastAsia="Calibri" w:hAnsiTheme="minorHAnsi" w:cstheme="minorHAnsi"/>
              </w:rPr>
              <w:t>Energy Fundamentals</w:t>
            </w:r>
          </w:p>
          <w:p w14:paraId="70238196" w14:textId="77777777" w:rsidR="00D12754" w:rsidRPr="00B15EE3" w:rsidRDefault="00D12754" w:rsidP="00321280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 w:rsidRPr="00B15EE3">
              <w:rPr>
                <w:rFonts w:asciiTheme="minorHAnsi" w:eastAsia="Calibri" w:hAnsiTheme="minorHAnsi" w:cstheme="minorHAnsi"/>
              </w:rPr>
              <w:t>Energy Accounting</w:t>
            </w:r>
          </w:p>
          <w:p w14:paraId="1D2F50CE" w14:textId="38819CA2" w:rsidR="00D12754" w:rsidRPr="00F62A53" w:rsidRDefault="00D12754" w:rsidP="00321280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  <w:i/>
                <w:iCs/>
              </w:rPr>
            </w:pPr>
            <w:r w:rsidRPr="00F62A53">
              <w:rPr>
                <w:rFonts w:asciiTheme="minorHAnsi" w:eastAsia="Calibri" w:hAnsiTheme="minorHAnsi" w:cstheme="minorHAnsi"/>
                <w:i/>
                <w:iCs/>
              </w:rPr>
              <w:t>Learning Activity</w:t>
            </w:r>
            <w:r>
              <w:rPr>
                <w:rFonts w:asciiTheme="minorHAnsi" w:eastAsia="Calibri" w:hAnsiTheme="minorHAnsi" w:cstheme="minorHAnsi"/>
                <w:i/>
                <w:iCs/>
              </w:rPr>
              <w:t>:</w:t>
            </w:r>
            <w:r w:rsidRPr="00F62A53">
              <w:rPr>
                <w:rFonts w:asciiTheme="minorHAnsi" w:eastAsia="Calibri" w:hAnsiTheme="minorHAnsi" w:cstheme="minorHAnsi"/>
                <w:i/>
                <w:iCs/>
              </w:rPr>
              <w:t xml:space="preserve"> Interpreting Energy Bills</w:t>
            </w:r>
          </w:p>
          <w:p w14:paraId="7FFB2B7E" w14:textId="1A7AAA00" w:rsidR="00D12754" w:rsidRPr="00F62A53" w:rsidRDefault="00D12754" w:rsidP="00415BA7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Theme="minorHAnsi" w:eastAsia="Calibri" w:hAnsiTheme="minorHAnsi" w:cstheme="minorHAnsi"/>
              </w:rPr>
            </w:pPr>
            <w:r w:rsidRPr="00F62A53">
              <w:rPr>
                <w:rFonts w:asciiTheme="minorHAnsi" w:eastAsia="Calibri" w:hAnsiTheme="minorHAnsi" w:cstheme="minorHAnsi"/>
              </w:rPr>
              <w:t>Energy Benchmarking</w:t>
            </w:r>
          </w:p>
          <w:p w14:paraId="301E36D4" w14:textId="77777777" w:rsidR="00D12754" w:rsidRDefault="00D12754" w:rsidP="00321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</w:pPr>
          </w:p>
          <w:p w14:paraId="61C088EB" w14:textId="199CD182" w:rsidR="00D12754" w:rsidRPr="00B15EE3" w:rsidRDefault="00D12754" w:rsidP="003212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</w:pPr>
            <w:bookmarkStart w:id="8" w:name="_Hlk74911554"/>
            <w:r w:rsidRPr="00B15EE3"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 xml:space="preserve">Part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>7</w:t>
            </w:r>
            <w:r w:rsidRPr="00B15EE3">
              <w:rPr>
                <w:rFonts w:asciiTheme="minorHAnsi" w:hAnsiTheme="minorHAnsi" w:cstheme="minorHAnsi"/>
                <w:b/>
                <w:bCs/>
                <w:i/>
                <w:iCs/>
                <w:kern w:val="24"/>
              </w:rPr>
              <w:t>: Putting It All Together</w:t>
            </w:r>
          </w:p>
          <w:bookmarkEnd w:id="8"/>
          <w:p w14:paraId="105BF1D5" w14:textId="77777777" w:rsidR="00D12754" w:rsidRDefault="00D12754" w:rsidP="00B15EE3">
            <w:pPr>
              <w:pStyle w:val="NoSpacing"/>
              <w:rPr>
                <w:rFonts w:ascii="Verdana" w:hAnsi="Verdana" w:cs="Times New Roman"/>
              </w:rPr>
            </w:pPr>
          </w:p>
        </w:tc>
      </w:tr>
    </w:tbl>
    <w:bookmarkEnd w:id="1"/>
    <w:p w14:paraId="7CD8A091" w14:textId="0762A6F3" w:rsidR="00B66163" w:rsidRDefault="00B66163" w:rsidP="00B66163">
      <w:pPr>
        <w:pBdr>
          <w:bottom w:val="single" w:sz="12" w:space="1" w:color="auto"/>
        </w:pBdr>
        <w:spacing w:before="60" w:after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License</w:t>
      </w:r>
    </w:p>
    <w:p w14:paraId="3FD8DFC8" w14:textId="58CF9D75" w:rsidR="00B66163" w:rsidRDefault="00B66163" w:rsidP="00B66163">
      <w:pPr>
        <w:pStyle w:val="ListParagraph"/>
        <w:ind w:left="0"/>
      </w:pPr>
      <w:r>
        <w:t xml:space="preserve">NEEC’s licensed partners are invited to pilot the new curriculum through Program Year 2022 using a per-course license structure. Starting in Program year 2023 partners will have the opportunity to license the material in perpetuity, with a credit for fees already paid under the per-course structure in Program Years 2021 and 2022.  </w:t>
      </w:r>
    </w:p>
    <w:p w14:paraId="3B478B89" w14:textId="42C0ED46" w:rsidR="00B66163" w:rsidRDefault="00B66163" w:rsidP="00B66163">
      <w:pPr>
        <w:pStyle w:val="ListParagraph"/>
        <w:ind w:left="0"/>
      </w:pPr>
    </w:p>
    <w:p w14:paraId="41A2E731" w14:textId="0CACDE47" w:rsidR="00B66163" w:rsidRDefault="00B66163" w:rsidP="00B66163">
      <w:pPr>
        <w:pStyle w:val="ListParagraph"/>
        <w:ind w:left="0"/>
      </w:pPr>
      <w:r>
        <w:t xml:space="preserve">Partners interested in learning more should contact Melanie Danuser to discuss options and fees. </w:t>
      </w:r>
    </w:p>
    <w:p w14:paraId="5ED7FFE4" w14:textId="77777777" w:rsidR="00B66163" w:rsidRDefault="00B66163" w:rsidP="00B66163">
      <w:pPr>
        <w:pStyle w:val="ListParagraph"/>
        <w:ind w:left="0"/>
        <w:rPr>
          <w:rFonts w:ascii="Verdana" w:hAnsi="Verdana" w:cs="Arial"/>
          <w:b/>
        </w:rPr>
      </w:pPr>
    </w:p>
    <w:p w14:paraId="6EF4CF58" w14:textId="57610FAB" w:rsidR="00D12754" w:rsidRDefault="00D12754" w:rsidP="00D12754">
      <w:pPr>
        <w:pBdr>
          <w:bottom w:val="single" w:sz="12" w:space="1" w:color="auto"/>
        </w:pBdr>
        <w:spacing w:before="60" w:after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Credential</w:t>
      </w:r>
    </w:p>
    <w:p w14:paraId="0ED229A4" w14:textId="375C7B6E" w:rsidR="00D12754" w:rsidRDefault="00D12754" w:rsidP="00D12754">
      <w:pPr>
        <w:spacing w:after="160" w:line="259" w:lineRule="auto"/>
      </w:pPr>
      <w:r>
        <w:t xml:space="preserve">Participants </w:t>
      </w:r>
      <w:r w:rsidR="00F32319">
        <w:t>who successfully complete</w:t>
      </w:r>
      <w:r>
        <w:t xml:space="preserve"> the course </w:t>
      </w:r>
      <w:r w:rsidR="00F32319">
        <w:t xml:space="preserve">through attendance and achieving a </w:t>
      </w:r>
      <w:r>
        <w:t xml:space="preserve">70% or greater on the test will earn a </w:t>
      </w:r>
      <w:r w:rsidRPr="00D12754">
        <w:rPr>
          <w:i/>
          <w:iCs/>
        </w:rPr>
        <w:t>Fundamentals of Energy Efficient Building Operations Certificate</w:t>
      </w:r>
      <w:r>
        <w:t xml:space="preserve">. </w:t>
      </w:r>
      <w:r w:rsidR="00F32319">
        <w:t xml:space="preserve">Credential issuance procedure: </w:t>
      </w:r>
    </w:p>
    <w:p w14:paraId="55F523E5" w14:textId="3A74D3CB" w:rsidR="00611253" w:rsidRDefault="00611253" w:rsidP="00611253">
      <w:r w:rsidRPr="00611253">
        <w:t xml:space="preserve"> </w:t>
      </w:r>
      <w:r>
        <w:t>At the end of a series, partners will:</w:t>
      </w:r>
    </w:p>
    <w:p w14:paraId="386EFB35" w14:textId="642BEC12" w:rsidR="00611253" w:rsidRDefault="00611253" w:rsidP="00611253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Issue certificates to those who qualify, using a template provided by </w:t>
      </w:r>
      <w:proofErr w:type="gramStart"/>
      <w:r>
        <w:rPr>
          <w:rFonts w:eastAsia="Times New Roman"/>
        </w:rPr>
        <w:t>NEEC</w:t>
      </w:r>
      <w:proofErr w:type="gramEnd"/>
    </w:p>
    <w:p w14:paraId="14A7F321" w14:textId="01E38E4B" w:rsidR="00611253" w:rsidRDefault="00611253" w:rsidP="00611253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Send a list of FEEBO Certificate recipients to </w:t>
      </w:r>
      <w:proofErr w:type="gramStart"/>
      <w:r>
        <w:rPr>
          <w:rFonts w:eastAsia="Times New Roman"/>
        </w:rPr>
        <w:t>NEEC</w:t>
      </w:r>
      <w:proofErr w:type="gramEnd"/>
    </w:p>
    <w:p w14:paraId="5C22EC2C" w14:textId="77777777" w:rsidR="006A5C45" w:rsidRDefault="006A5C45" w:rsidP="006A5C45">
      <w:pPr>
        <w:pStyle w:val="ListParagraph"/>
        <w:ind w:left="0"/>
      </w:pPr>
    </w:p>
    <w:p w14:paraId="07FC4692" w14:textId="0B9B33E7" w:rsidR="00CB5BEA" w:rsidRDefault="00CB5BEA" w:rsidP="006A5C45">
      <w:pPr>
        <w:pStyle w:val="ListParagraph"/>
        <w:ind w:left="0"/>
      </w:pPr>
      <w:r>
        <w:t xml:space="preserve">Successful completion of the course (resulting in a Fundamentals Certificate) can be paired with one-year of experience for a student to meet eligibility requirements for BOC Level I. </w:t>
      </w:r>
    </w:p>
    <w:p w14:paraId="625C8767" w14:textId="77777777" w:rsidR="00D12754" w:rsidRDefault="00D12754" w:rsidP="00CB5BEA">
      <w:pPr>
        <w:spacing w:after="160" w:line="259" w:lineRule="auto"/>
      </w:pPr>
    </w:p>
    <w:p w14:paraId="6D8976DB" w14:textId="77777777" w:rsidR="00D12754" w:rsidRDefault="00D12754" w:rsidP="0009052D">
      <w:pPr>
        <w:spacing w:after="160" w:line="259" w:lineRule="auto"/>
        <w:jc w:val="center"/>
      </w:pPr>
    </w:p>
    <w:p w14:paraId="21A5E6D9" w14:textId="12C3686A" w:rsidR="00267427" w:rsidRPr="0009052D" w:rsidRDefault="0009052D" w:rsidP="0009052D">
      <w:pPr>
        <w:spacing w:after="160" w:line="259" w:lineRule="auto"/>
        <w:jc w:val="center"/>
      </w:pPr>
      <w:r w:rsidRPr="0009052D">
        <w:t>###</w:t>
      </w:r>
    </w:p>
    <w:sectPr w:rsidR="00267427" w:rsidRPr="0009052D" w:rsidSect="00F62A53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vecento sans wide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Tw Cen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08B0"/>
    <w:multiLevelType w:val="hybridMultilevel"/>
    <w:tmpl w:val="E286D5F2"/>
    <w:lvl w:ilvl="0" w:tplc="C3005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C8A24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73EB6"/>
    <w:multiLevelType w:val="hybridMultilevel"/>
    <w:tmpl w:val="F152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97799"/>
    <w:multiLevelType w:val="hybridMultilevel"/>
    <w:tmpl w:val="0268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22F2"/>
    <w:multiLevelType w:val="hybridMultilevel"/>
    <w:tmpl w:val="D2BC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64C7D"/>
    <w:multiLevelType w:val="hybridMultilevel"/>
    <w:tmpl w:val="1328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55427"/>
    <w:multiLevelType w:val="hybridMultilevel"/>
    <w:tmpl w:val="259E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24"/>
    <w:rsid w:val="0009052D"/>
    <w:rsid w:val="000D74EF"/>
    <w:rsid w:val="00140256"/>
    <w:rsid w:val="002359B7"/>
    <w:rsid w:val="002574CE"/>
    <w:rsid w:val="00267427"/>
    <w:rsid w:val="002E359E"/>
    <w:rsid w:val="002F192C"/>
    <w:rsid w:val="00321280"/>
    <w:rsid w:val="003A60B5"/>
    <w:rsid w:val="004559AC"/>
    <w:rsid w:val="00462F39"/>
    <w:rsid w:val="004F220A"/>
    <w:rsid w:val="005526C5"/>
    <w:rsid w:val="00574CBD"/>
    <w:rsid w:val="005A4B66"/>
    <w:rsid w:val="005B6C24"/>
    <w:rsid w:val="005C34E8"/>
    <w:rsid w:val="00611253"/>
    <w:rsid w:val="006A5C45"/>
    <w:rsid w:val="006D55E3"/>
    <w:rsid w:val="007306BD"/>
    <w:rsid w:val="007B5248"/>
    <w:rsid w:val="007D3F64"/>
    <w:rsid w:val="008676EE"/>
    <w:rsid w:val="008C65AE"/>
    <w:rsid w:val="008C7C5E"/>
    <w:rsid w:val="00991326"/>
    <w:rsid w:val="009A2284"/>
    <w:rsid w:val="009C5BC7"/>
    <w:rsid w:val="009D3C94"/>
    <w:rsid w:val="00A20FB2"/>
    <w:rsid w:val="00AD15FE"/>
    <w:rsid w:val="00B1392B"/>
    <w:rsid w:val="00B15EE3"/>
    <w:rsid w:val="00B40C5B"/>
    <w:rsid w:val="00B445F8"/>
    <w:rsid w:val="00B66163"/>
    <w:rsid w:val="00CB5BEA"/>
    <w:rsid w:val="00CF0FCC"/>
    <w:rsid w:val="00D00817"/>
    <w:rsid w:val="00D12754"/>
    <w:rsid w:val="00D40126"/>
    <w:rsid w:val="00E7159D"/>
    <w:rsid w:val="00F32319"/>
    <w:rsid w:val="00F62A53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4688A"/>
  <w15:chartTrackingRefBased/>
  <w15:docId w15:val="{0088042F-DE80-4998-9FF1-2C6226E4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2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C24"/>
    <w:pPr>
      <w:ind w:left="720"/>
    </w:pPr>
  </w:style>
  <w:style w:type="paragraph" w:styleId="NoSpacing">
    <w:name w:val="No Spacing"/>
    <w:uiPriority w:val="1"/>
    <w:qFormat/>
    <w:rsid w:val="00B15EE3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32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2754"/>
    <w:pPr>
      <w:autoSpaceDE w:val="0"/>
      <w:autoSpaceDN w:val="0"/>
      <w:adjustRightInd w:val="0"/>
      <w:spacing w:after="0" w:line="240" w:lineRule="auto"/>
    </w:pPr>
    <w:rPr>
      <w:rFonts w:ascii="Novecento sans wide Book" w:hAnsi="Novecento sans wide Book" w:cs="Novecento sans wide Book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12754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D12754"/>
    <w:rPr>
      <w:rFonts w:cs="Novecento sans wide Book"/>
      <w:b/>
      <w:bCs/>
      <w:color w:val="000000"/>
      <w:sz w:val="26"/>
      <w:szCs w:val="26"/>
    </w:rPr>
  </w:style>
  <w:style w:type="character" w:customStyle="1" w:styleId="A1">
    <w:name w:val="A1"/>
    <w:uiPriority w:val="99"/>
    <w:rsid w:val="00D12754"/>
    <w:rPr>
      <w:rFonts w:ascii="Avenir Book" w:hAnsi="Avenir Book" w:cs="Avenir Book"/>
      <w:color w:val="000000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574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CB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CBD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83865-065A-4E3D-8B31-3AE1BD05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Brown</dc:creator>
  <cp:keywords/>
  <dc:description/>
  <cp:lastModifiedBy>Julie Brown</cp:lastModifiedBy>
  <cp:revision>3</cp:revision>
  <dcterms:created xsi:type="dcterms:W3CDTF">2021-06-23T19:51:00Z</dcterms:created>
  <dcterms:modified xsi:type="dcterms:W3CDTF">2021-06-23T20:35:00Z</dcterms:modified>
</cp:coreProperties>
</file>